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Subject line: Now Offering Tax Resolution Services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[CLIENT NAME],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Because you're a valued client of [COMPANY NAME], we want you to be the first to know about our expanded tax resolution services. We can now help you deal with tax debt, unfiled tax returns, IRS or state tax audits, or any other tax problems.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If you're facing tax issues, you're not alone. Tax problems are some of the most common financial problems faced by Americans. Dealing with multiple tax agencies, complex filing requirements, and a constantly changing tax code can be rough – and that's where we come in.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Our comprehensive tax resolution services include tax audit representation, tax debt resolution (including payment plans and offers in compromise), filing back taxes, and IRS appeals. We can help you negotiate with the IRS or the state and minimize the impact of tax liens, levies, wage garnishments, and tax penalties.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Schedule your free consultation with our team now to get your questions answered and your tax problem resolved as quickly as possible. We’ll listen closely to your issues and concerns before coming up with the right solution to help you move forward.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look forward to working with you again soon!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Thanks,</w:t>
      </w:r>
    </w:p>
    <w:p w:rsidR="00000000" w:rsidDel="00000000" w:rsidP="00000000" w:rsidRDefault="00000000" w:rsidRPr="00000000" w14:paraId="00000010">
      <w:pPr>
        <w:rPr/>
      </w:pPr>
      <w:r w:rsidDel="00000000" w:rsidR="00000000" w:rsidRPr="00000000">
        <w:rPr>
          <w:rtl w:val="0"/>
        </w:rPr>
        <w:t xml:space="preserve">[COMPANY NAME/ATTORNEY NAME]</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