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Subject line: Tax Problems? We Can Help You</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[Client],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for trusting us to handle your tax matters! We're excited to announce that we've recently expanded our services to include tax problem resolution. If you're facing an audit, unpaid taxes, or involuntary collection actions like liens or levies, we can help.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Dealing with tax problems can be confusing, time-consuming, and incredibly stressful -- but we can make it easy for you. At [Firm Name], we are committed to providing our clients with sustainable solutions that protect their assets while getting them back into compliance with the IRS or the state.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to talk? Then, let's schedule a conversation today. Give us a call at [Phone Number] or use [Link to online contact form, Calendly, etc] to request an initial consultation. </w:t>
      </w:r>
    </w:p>
    <w:p w:rsidR="00000000" w:rsidDel="00000000" w:rsidP="00000000" w:rsidRDefault="00000000" w:rsidRPr="00000000" w14:paraId="0000000A">
      <w:pPr>
        <w:rPr/>
      </w:pPr>
      <w:r w:rsidDel="00000000" w:rsidR="00000000" w:rsidRPr="00000000">
        <w:rPr>
          <w:rtl w:val="0"/>
        </w:rPr>
        <w:t xml:space="preserve">We look forward to working together again soon!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If you have friends or family who are experiencing tax problems, we encourage you to refer them to our offices. We are accepting new clients for a limited time.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Thanks,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[Company Name/Attorney Name]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